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color w:val="522E92"/>
          <w:sz w:val="38"/>
          <w:szCs w:val="38"/>
        </w:rPr>
      </w:pPr>
      <w:r>
        <w:rPr>
          <w:rFonts w:ascii="AQAChevinPro-Medium" w:hAnsi="AQAChevinPro-Medium" w:cs="AQAChevinPro-Medium"/>
          <w:color w:val="522E92"/>
          <w:sz w:val="38"/>
          <w:szCs w:val="38"/>
        </w:rPr>
        <w:t>3.3 Grammar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AS and A-level students will be expected to have studied the grammatical system and structures of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the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language during their course. Knowledge of the grammar and structures specified for GCSE is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assumed</w:t>
      </w:r>
      <w:proofErr w:type="gramEnd"/>
      <w:r>
        <w:rPr>
          <w:rFonts w:ascii="HelveticaNeueLTStd-Roman" w:hAnsi="HelveticaNeueLTStd-Roman" w:cs="HelveticaNeueLTStd-Roman"/>
          <w:color w:val="000000"/>
        </w:rPr>
        <w:t>.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 the exam students will be required to use, actively and accurately, grammar and structures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appropriate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to the tasks set, drawn from the following lists. The mention of an item in these lists implies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knowledge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of both its forms and its functions at an appropriate level of accuracy and complexity.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 lists are divided into AS and A-level. The examples in italics in parentheses are indicative; they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serve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to illustrate the part of speech or structure that the student must know and do not represent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an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exhaustive specification of the required grammatical knowledge. For items marked (R), receptive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knowledge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only is required.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A-level students will be expected to have studied all grammar and structures that appear in the lists for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Bd" w:hAnsi="HelveticaNeueLTStd-Bd" w:cs="HelveticaNeueLTStd-Bd"/>
          <w:color w:val="000000"/>
        </w:rPr>
        <w:t>both</w:t>
      </w:r>
      <w:proofErr w:type="gramEnd"/>
      <w:r>
        <w:rPr>
          <w:rFonts w:ascii="HelveticaNeueLTStd-Bd" w:hAnsi="HelveticaNeueLTStd-Bd" w:cs="HelveticaNeueLTStd-Bd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AS and A-level.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color w:val="522E92"/>
          <w:sz w:val="32"/>
          <w:szCs w:val="32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color w:val="522E92"/>
          <w:sz w:val="32"/>
          <w:szCs w:val="32"/>
        </w:rPr>
        <w:t>3.3.1 AS grammar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 Nouns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Gender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Singular and plural forms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Plural of male/female pairs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los Reyes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Affective suffixes (R)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3.3.1.2 Articles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Definite and indefinite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It" w:hAnsi="HelveticaNeueLTStd-It" w:cs="HelveticaNeueLTStd-It"/>
          <w:i/>
          <w:iCs/>
          <w:color w:val="000000"/>
        </w:rPr>
        <w:t xml:space="preserve">El </w:t>
      </w:r>
      <w:r>
        <w:rPr>
          <w:rFonts w:ascii="HelveticaNeueLTStd-Roman" w:hAnsi="HelveticaNeueLTStd-Roman" w:cs="HelveticaNeueLTStd-Roman"/>
          <w:color w:val="000000"/>
        </w:rPr>
        <w:t xml:space="preserve">with feminine nouns beginning with stressed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a </w:t>
      </w:r>
      <w:r>
        <w:rPr>
          <w:rFonts w:ascii="HelveticaNeueLTStd-Roman" w:hAnsi="HelveticaNeueLTStd-Roman" w:cs="HelveticaNeueLTStd-Roman"/>
          <w:color w:val="000000"/>
        </w:rPr>
        <w:t>(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el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agua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It" w:hAnsi="HelveticaNeueLTStd-It" w:cs="HelveticaNeueLTStd-It"/>
          <w:i/>
          <w:iCs/>
          <w:color w:val="000000"/>
        </w:rPr>
        <w:t xml:space="preserve">Lo </w:t>
      </w:r>
      <w:r>
        <w:rPr>
          <w:rFonts w:ascii="HelveticaNeueLTStd-Roman" w:hAnsi="HelveticaNeueLTStd-Roman" w:cs="HelveticaNeueLTStd-Roman"/>
          <w:color w:val="000000"/>
        </w:rPr>
        <w:t>+ adjective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3.3.1.3 Adjectives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Agreement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Position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Apocopation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gran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buen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, mal, primer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Comparative and superlative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más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fuerte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;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mejor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peor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mayor,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menor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Use of adjectives as nouns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una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triste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la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roja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las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norteamericanas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Demonstrative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este</w:t>
      </w:r>
      <w:proofErr w:type="spellEnd"/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aquel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Indefinite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alguno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cualquiera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otro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Possessive (weak and strong forms)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mi/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mío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Interrogative and exclamatory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¿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cuánto</w:t>
      </w:r>
      <w:proofErr w:type="spellEnd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?/</w:t>
      </w:r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>¡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cuánto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!</w:t>
      </w:r>
      <w:r>
        <w:rPr>
          <w:rFonts w:ascii="HelveticaNeueLTStd-Roman" w:hAnsi="HelveticaNeueLTStd-Roman" w:cs="HelveticaNeueLTStd-Roman"/>
          <w:color w:val="000000"/>
        </w:rPr>
        <w:t xml:space="preserve">, etc, including use of </w:t>
      </w:r>
      <w:r>
        <w:rPr>
          <w:rFonts w:ascii="HelveticaNeueLTStd-It" w:hAnsi="HelveticaNeueLTStd-It" w:cs="HelveticaNeueLTStd-It"/>
          <w:i/>
          <w:iCs/>
          <w:color w:val="000000"/>
        </w:rPr>
        <w:t>¿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qué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?/¡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qué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!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Relative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cuyo</w:t>
      </w:r>
      <w:proofErr w:type="spellEnd"/>
      <w:r>
        <w:rPr>
          <w:rFonts w:ascii="HelveticaNeueLTStd-Roman" w:hAnsi="HelveticaNeueLTStd-Roman" w:cs="HelveticaNeueLTStd-Roman"/>
          <w:color w:val="000000"/>
        </w:rPr>
        <w:t>) (R)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3.3.1.4 Numerals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Cardinal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uno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, dos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Ordinal 1 – 10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primero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segundo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Agreement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cuatrocientas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chicas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Expression of time and date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3.3.1.5 Adverbs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Formation of adverbs in </w:t>
      </w:r>
      <w:r>
        <w:rPr>
          <w:rFonts w:ascii="HelveticaNeueLTStd-It" w:hAnsi="HelveticaNeueLTStd-It" w:cs="HelveticaNeueLTStd-It"/>
          <w:i/>
          <w:iCs/>
          <w:color w:val="000000"/>
        </w:rPr>
        <w:t>-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mente</w:t>
      </w:r>
      <w:proofErr w:type="spell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Comparative and superlative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más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despacio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Use of adjectives as adverbs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rápido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claro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Adjectives as equivalents of English adverbs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Salió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contenta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Interrogative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¿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cómo</w:t>
      </w:r>
      <w:proofErr w:type="spellEnd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?,</w:t>
      </w:r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¿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cuándo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?, ¿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dónde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?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3.3.1.6 Quantifiers/intensifiers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(</w:t>
      </w:r>
      <w:proofErr w:type="spellStart"/>
      <w:proofErr w:type="gram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proofErr w:type="gram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muy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bastante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poco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, mucho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lastRenderedPageBreak/>
        <w:t>3.3.1.7 Pronouns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Subject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Object: direct and indirect; use of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se </w:t>
      </w:r>
      <w:r>
        <w:rPr>
          <w:rFonts w:ascii="HelveticaNeueLTStd-Roman" w:hAnsi="HelveticaNeueLTStd-Roman" w:cs="HelveticaNeueLTStd-Roman"/>
          <w:color w:val="000000"/>
        </w:rPr>
        <w:t xml:space="preserve">for </w:t>
      </w:r>
      <w:r>
        <w:rPr>
          <w:rFonts w:ascii="HelveticaNeueLTStd-It" w:hAnsi="HelveticaNeueLTStd-It" w:cs="HelveticaNeueLTStd-It"/>
          <w:i/>
          <w:iCs/>
          <w:color w:val="000000"/>
        </w:rPr>
        <w:t>le(s)</w:t>
      </w:r>
      <w:r>
        <w:rPr>
          <w:rFonts w:ascii="HelveticaNeueLTStd-Roman" w:hAnsi="HelveticaNeueLTStd-Roman" w:cs="HelveticaNeueLTStd-Roman"/>
          <w:color w:val="000000"/>
        </w:rPr>
        <w:t>; ‘redundant’ use of indirect object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Dale </w:t>
      </w:r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un</w:t>
      </w:r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beso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tu</w:t>
      </w:r>
      <w:proofErr w:type="spell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papá</w:t>
      </w:r>
      <w:proofErr w:type="spellEnd"/>
      <w:proofErr w:type="gram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Reflexive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Unstressed/stressed forms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me/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mí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Position and order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Relative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quien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el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el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cual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Demonstrative (</w:t>
      </w: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este</w:t>
      </w:r>
      <w:proofErr w:type="spellEnd"/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aquel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;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esto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aquello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Indefinite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algo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alguien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Possessive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el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mío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la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mía</w:t>
      </w:r>
      <w:proofErr w:type="spellEnd"/>
      <w:r>
        <w:rPr>
          <w:rFonts w:ascii="HelveticaNeueLTStd-Roman" w:hAnsi="HelveticaNeueLTStd-Roman" w:cs="HelveticaNeueLTStd-Roman"/>
          <w:color w:val="000000"/>
        </w:rPr>
        <w:t>).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Expression of possession by the use of the indirect object pronoun (</w:t>
      </w:r>
      <w:r>
        <w:rPr>
          <w:rFonts w:ascii="HelveticaNeueLTStd-It" w:hAnsi="HelveticaNeueLTStd-It" w:cs="HelveticaNeueLTStd-It"/>
          <w:i/>
          <w:iCs/>
          <w:color w:val="000000"/>
        </w:rPr>
        <w:t>Le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rompió</w:t>
      </w:r>
      <w:proofErr w:type="spellEnd"/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el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brazo</w:t>
      </w:r>
      <w:proofErr w:type="spellEnd"/>
      <w:r>
        <w:rPr>
          <w:rFonts w:ascii="HelveticaNeueLTStd-Roman" w:hAnsi="HelveticaNeueLTStd-Roman" w:cs="HelveticaNeueLTStd-Roman"/>
          <w:color w:val="000000"/>
        </w:rPr>
        <w:t>) must also be included.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Interrogative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3.3.1.8 Verbs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Regular conjugations of </w:t>
      </w:r>
      <w:r>
        <w:rPr>
          <w:rFonts w:ascii="HelveticaNeueLTStd-It" w:hAnsi="HelveticaNeueLTStd-It" w:cs="HelveticaNeueLTStd-It"/>
          <w:i/>
          <w:iCs/>
          <w:color w:val="000000"/>
        </w:rPr>
        <w:t>-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, -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and </w:t>
      </w:r>
      <w:r>
        <w:rPr>
          <w:rFonts w:ascii="HelveticaNeueLTStd-It" w:hAnsi="HelveticaNeueLTStd-It" w:cs="HelveticaNeueLTStd-It"/>
          <w:i/>
          <w:iCs/>
          <w:color w:val="000000"/>
        </w:rPr>
        <w:t>-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ir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verbs, including radical-changing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recordar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/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recuerdo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,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pedir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/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pido</w:t>
      </w:r>
      <w:proofErr w:type="spellEnd"/>
      <w:r>
        <w:rPr>
          <w:rFonts w:ascii="HelveticaNeueLTStd-Roman" w:hAnsi="HelveticaNeueLTStd-Roman" w:cs="HelveticaNeueLTStd-Roman"/>
          <w:color w:val="000000"/>
        </w:rPr>
        <w:t>) and orthographic-changing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abrazar</w:t>
      </w:r>
      <w:proofErr w:type="spellEnd"/>
      <w:r>
        <w:rPr>
          <w:rFonts w:ascii="HelveticaNeueLTStd-Roman" w:hAnsi="HelveticaNeueLTStd-Roman" w:cs="HelveticaNeueLTStd-Roman"/>
          <w:color w:val="000000"/>
        </w:rPr>
        <w:t>/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abracé</w:t>
      </w:r>
      <w:proofErr w:type="spellEnd"/>
      <w:r>
        <w:rPr>
          <w:rFonts w:ascii="HelveticaNeueLTStd-Roman" w:hAnsi="HelveticaNeueLTStd-Roman" w:cs="HelveticaNeueLTStd-Roman"/>
          <w:color w:val="000000"/>
        </w:rPr>
        <w:t>) verbs in all tenses and moods, finite and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non-finite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forms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Regular and irregular verbs, in all tenses and moods, finite and non-finite forms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Agreement of verb and subject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Use of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hay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in all tenses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Use of tenses: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present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Roman" w:hAnsi="HelveticaNeueLTStd-Roman" w:cs="HelveticaNeueLTStd-Roman"/>
          <w:color w:val="000000"/>
        </w:rPr>
        <w:t>preterite</w:t>
      </w:r>
      <w:proofErr w:type="spell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imperfect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future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conditional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perfect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future perfect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conditional perfect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•• pluperfect.</w:t>
      </w:r>
      <w:proofErr w:type="gram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Use of the infinitive, the gerund and the past participle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Verbal paraphrases and their uses.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These include but are not limited to the following: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ir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a </w:t>
      </w:r>
      <w:r>
        <w:rPr>
          <w:rFonts w:ascii="HelveticaNeueLTStd-Roman" w:hAnsi="HelveticaNeueLTStd-Roman" w:cs="HelveticaNeueLTStd-Roman"/>
          <w:color w:val="000000"/>
        </w:rPr>
        <w:t>+ gerund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estar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+ gerund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acabar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de </w:t>
      </w:r>
      <w:r>
        <w:rPr>
          <w:rFonts w:ascii="HelveticaNeueLTStd-Roman" w:hAnsi="HelveticaNeueLTStd-Roman" w:cs="HelveticaNeueLTStd-Roman"/>
          <w:color w:val="000000"/>
        </w:rPr>
        <w:t>+ infinitive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estar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para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+ infinitive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llevar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+ gerund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ir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+ gerund (R)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venir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+ gerund (R).</w:t>
      </w:r>
      <w:proofErr w:type="gram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Use of the subjunctive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Commands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Conditional sentences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After conjunctions of time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After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para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sin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 relative clauses (R)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After other subordinating conjunctions (R)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With verbs and verbal expressions of wishing, commanding, influencing, emotional reaction, doubt,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denial</w:t>
      </w:r>
      <w:proofErr w:type="gramEnd"/>
      <w:r>
        <w:rPr>
          <w:rFonts w:ascii="HelveticaNeueLTStd-Roman" w:hAnsi="HelveticaNeueLTStd-Roman" w:cs="HelveticaNeueLTStd-Roman"/>
          <w:color w:val="000000"/>
        </w:rPr>
        <w:t>, possibility, probability (R)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Sequence of tense in indirect speech and other subordinate clauses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Voice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Use of the reflexive as a passive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El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puente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se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construyó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para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unir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las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comunidades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Use of the reflexive to express an impersonal subject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¿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Cómo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se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llega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a la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estación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?</w:t>
      </w:r>
      <w:r>
        <w:rPr>
          <w:rFonts w:ascii="HelveticaNeueLTStd-Roman" w:hAnsi="HelveticaNeueLTStd-Roman" w:cs="HelveticaNeueLTStd-Roman"/>
          <w:color w:val="000000"/>
        </w:rPr>
        <w:t>)</w:t>
      </w:r>
      <w:proofErr w:type="gram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Use of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ser </w:t>
      </w:r>
      <w:r>
        <w:rPr>
          <w:rFonts w:ascii="HelveticaNeueLTStd-Roman" w:hAnsi="HelveticaNeueLTStd-Roman" w:cs="HelveticaNeueLTStd-Roman"/>
          <w:color w:val="000000"/>
        </w:rPr>
        <w:t>+ past participle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Use of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estar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+ past participle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‘Nuance’ reflexive verbs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caerse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pararse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Modes of address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tú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usted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;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vos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(R))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lastRenderedPageBreak/>
        <w:t>Constructions with verbs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Verbs followed directly by an infinitive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querer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poder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Verbs followed by a preposition plus an infinitive or noun phrase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insistir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en,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negarse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a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Verbs followed by a gerund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seguir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Verbs of perception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Vi</w:t>
      </w:r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asfaltar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la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calle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Uses of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ser </w:t>
      </w:r>
      <w:r>
        <w:rPr>
          <w:rFonts w:ascii="HelveticaNeueLTStd-Roman" w:hAnsi="HelveticaNeueLTStd-Roman" w:cs="HelveticaNeueLTStd-Roman"/>
          <w:color w:val="000000"/>
        </w:rPr>
        <w:t xml:space="preserve">and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estar</w:t>
      </w:r>
      <w:proofErr w:type="spellEnd"/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3.3.1.9 Prepositions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All prepositions, both simple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bajo</w:t>
      </w:r>
      <w:proofErr w:type="spellEnd"/>
      <w:r>
        <w:rPr>
          <w:rFonts w:ascii="HelveticaNeueLTStd-Roman" w:hAnsi="HelveticaNeueLTStd-Roman" w:cs="HelveticaNeueLTStd-Roman"/>
          <w:color w:val="000000"/>
        </w:rPr>
        <w:t>) and complex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encima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de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‘Personal’ a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Discrimination of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por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and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para</w:t>
      </w:r>
      <w:proofErr w:type="spellEnd"/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3.3.1.10 Conjunctions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Coordinating conjunctions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y, o,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pero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Subordinating conjunctions.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These include but are not limited to the following: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cause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porque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purpose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para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proviso (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con </w:t>
      </w: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tal</w:t>
      </w:r>
      <w:proofErr w:type="spellEnd"/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supposition (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a no ser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time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cuando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•• concession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aunque</w:t>
      </w:r>
      <w:proofErr w:type="spellEnd"/>
      <w:r>
        <w:rPr>
          <w:rFonts w:ascii="HelveticaNeueLTStd-Roman" w:hAnsi="HelveticaNeueLTStd-Roman" w:cs="HelveticaNeueLTStd-Roman"/>
          <w:color w:val="000000"/>
        </w:rPr>
        <w:t>).</w:t>
      </w:r>
      <w:proofErr w:type="gram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Use of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introduce a clause (</w:t>
      </w:r>
      <w:proofErr w:type="spell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¡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Cuidado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se </w:t>
      </w: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va</w:t>
      </w:r>
      <w:proofErr w:type="spellEnd"/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quemar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la tortilla!</w:t>
      </w:r>
      <w:r>
        <w:rPr>
          <w:rFonts w:ascii="HelveticaNeueLTStd-Roman" w:hAnsi="HelveticaNeueLTStd-Roman" w:cs="HelveticaNeueLTStd-Roman"/>
          <w:color w:val="000000"/>
        </w:rPr>
        <w:t>) (R)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3.3.1.11 Negation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3.3.1.12 Questions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3.3.1.13 Commands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3.3.1.14 Word order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Subject following verb (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Ha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llegado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el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profesor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; </w:t>
      </w:r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Me</w:t>
      </w:r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gustan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las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patatas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Focalisation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Tú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¿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qué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opinas</w:t>
      </w:r>
      <w:proofErr w:type="spellEnd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?;</w:t>
      </w:r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Cristiano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lo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odian</w:t>
      </w:r>
      <w:proofErr w:type="spellEnd"/>
      <w:r>
        <w:rPr>
          <w:rFonts w:ascii="HelveticaNeueLTStd-Roman" w:hAnsi="HelveticaNeueLTStd-Roman" w:cs="HelveticaNeueLTStd-Roman"/>
          <w:color w:val="000000"/>
        </w:rPr>
        <w:t>) (R)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 xml:space="preserve">3.3.1.15 </w:t>
      </w:r>
      <w:proofErr w:type="gramStart"/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Other</w:t>
      </w:r>
      <w:proofErr w:type="gramEnd"/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 xml:space="preserve"> constructions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Time expressions with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hace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/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hacía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and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desde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hace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>/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hacía</w:t>
      </w:r>
      <w:proofErr w:type="spellEnd"/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Cleft sentences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Fue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en Madrid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donde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nos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conocimos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Comparative constructions.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These include but are not limited to the following: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r>
        <w:rPr>
          <w:rFonts w:ascii="HelveticaNeueLTStd-It" w:hAnsi="HelveticaNeueLTStd-It" w:cs="HelveticaNeueLTStd-It"/>
          <w:i/>
          <w:iCs/>
          <w:color w:val="000000"/>
        </w:rPr>
        <w:t xml:space="preserve">tan... </w:t>
      </w: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como</w:t>
      </w:r>
      <w:proofErr w:type="spellEnd"/>
      <w:proofErr w:type="gramEnd"/>
      <w:r>
        <w:rPr>
          <w:rFonts w:ascii="HelveticaNeueLTStd-Roman" w:hAnsi="HelveticaNeueLTStd-Roman" w:cs="HelveticaNeueLTStd-Roman"/>
          <w:color w:val="000000"/>
        </w:rPr>
        <w:t>..., etc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••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más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... </w:t>
      </w: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proofErr w:type="gramEnd"/>
      <w:r>
        <w:rPr>
          <w:rFonts w:ascii="HelveticaNeueLTStd-Roman" w:hAnsi="HelveticaNeueLTStd-Roman" w:cs="HelveticaNeueLTStd-Roman"/>
          <w:color w:val="000000"/>
        </w:rPr>
        <w:t>..., etc.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Tiene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más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dinero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de lo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creía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(R)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Indirect speech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3.3.1.16 Discourse markers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(</w:t>
      </w:r>
      <w:proofErr w:type="spellStart"/>
      <w:proofErr w:type="gram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proofErr w:type="gramEnd"/>
      <w:r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It" w:hAnsi="HelveticaNeueLTStd-It" w:cs="HelveticaNeueLTStd-It"/>
          <w:i/>
          <w:iCs/>
          <w:color w:val="000000"/>
        </w:rPr>
        <w:t>Es</w:t>
      </w:r>
      <w:r w:rsidR="005E707E"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...,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Por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ejemplo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Ahora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bien</w:t>
      </w:r>
      <w:proofErr w:type="spellEnd"/>
      <w:r>
        <w:rPr>
          <w:rFonts w:ascii="HelveticaNeueLTStd-Roman" w:hAnsi="HelveticaNeueLTStd-Roman" w:cs="HelveticaNeueLTStd-Roman"/>
          <w:color w:val="000000"/>
        </w:rPr>
        <w:t>...)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3.3.1.17 Fillers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(</w:t>
      </w:r>
      <w:proofErr w:type="spellStart"/>
      <w:proofErr w:type="gramStart"/>
      <w:r>
        <w:rPr>
          <w:rFonts w:ascii="HelveticaNeueLTStd-Roman" w:hAnsi="HelveticaNeueLTStd-Roman" w:cs="HelveticaNeueLTStd-Roman"/>
          <w:color w:val="000000"/>
        </w:rPr>
        <w:t>eg</w:t>
      </w:r>
      <w:proofErr w:type="spellEnd"/>
      <w:proofErr w:type="gramEnd"/>
      <w:r>
        <w:rPr>
          <w:rFonts w:ascii="HelveticaNeueLTStd-Roman" w:hAnsi="HelveticaNeueLTStd-Roman" w:cs="HelveticaNeueLTStd-Roman"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pues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bueno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color w:val="522E92"/>
          <w:sz w:val="32"/>
          <w:szCs w:val="32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Medium" w:hAnsi="AQAChevinPro-Medium" w:cs="AQAChevinPro-Medium"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color w:val="522E92"/>
          <w:sz w:val="32"/>
          <w:szCs w:val="32"/>
        </w:rPr>
        <w:t>3.3.2 A-level grammar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In addition to the vocabulary listed in the AS grammar list, students of A-level will also be expected to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study</w:t>
      </w:r>
      <w:proofErr w:type="gramEnd"/>
      <w:r>
        <w:rPr>
          <w:rFonts w:ascii="HelveticaNeueLTStd-Roman" w:hAnsi="HelveticaNeueLTStd-Roman" w:cs="HelveticaNeueLTStd-Roman"/>
          <w:color w:val="000000"/>
        </w:rPr>
        <w:t xml:space="preserve"> the following: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Adjectives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Relative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cuyo</w:t>
      </w:r>
      <w:proofErr w:type="spellEnd"/>
      <w:r>
        <w:rPr>
          <w:rFonts w:ascii="HelveticaNeueLTStd-Roman" w:hAnsi="HelveticaNeueLTStd-Roman" w:cs="HelveticaNeueLTStd-Roman"/>
          <w:color w:val="000000"/>
        </w:rPr>
        <w:t>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lastRenderedPageBreak/>
        <w:t>3.3.2.2 Verbs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Use of the subjunctive: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in relative clauses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after other subordinating conjunctions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with verbs and verbal expressions of wishing, commanding, influencing, emotional reaction, doubt,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proofErr w:type="gramStart"/>
      <w:r>
        <w:rPr>
          <w:rFonts w:ascii="HelveticaNeueLTStd-Roman" w:hAnsi="HelveticaNeueLTStd-Roman" w:cs="HelveticaNeueLTStd-Roman"/>
          <w:color w:val="000000"/>
        </w:rPr>
        <w:t>denial</w:t>
      </w:r>
      <w:proofErr w:type="gramEnd"/>
      <w:r>
        <w:rPr>
          <w:rFonts w:ascii="HelveticaNeueLTStd-Roman" w:hAnsi="HelveticaNeueLTStd-Roman" w:cs="HelveticaNeueLTStd-Roman"/>
          <w:color w:val="000000"/>
        </w:rPr>
        <w:t>, possibility, probability.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3.3.2.3 Conjunctions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Use of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introduce a clause (</w:t>
      </w:r>
      <w:r>
        <w:rPr>
          <w:rFonts w:ascii="HelveticaNeueLTStd-It" w:hAnsi="HelveticaNeueLTStd-It" w:cs="HelveticaNeueLTStd-It"/>
          <w:i/>
          <w:iCs/>
          <w:color w:val="000000"/>
        </w:rPr>
        <w:t>¡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Cuidado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se </w:t>
      </w:r>
      <w:proofErr w:type="spellStart"/>
      <w:proofErr w:type="gramStart"/>
      <w:r>
        <w:rPr>
          <w:rFonts w:ascii="HelveticaNeueLTStd-It" w:hAnsi="HelveticaNeueLTStd-It" w:cs="HelveticaNeueLTStd-It"/>
          <w:i/>
          <w:iCs/>
          <w:color w:val="000000"/>
        </w:rPr>
        <w:t>va</w:t>
      </w:r>
      <w:proofErr w:type="spellEnd"/>
      <w:proofErr w:type="gramEnd"/>
      <w:r>
        <w:rPr>
          <w:rFonts w:ascii="HelveticaNeueLTStd-It" w:hAnsi="HelveticaNeueLTStd-It" w:cs="HelveticaNeueLTStd-It"/>
          <w:i/>
          <w:iCs/>
          <w:color w:val="000000"/>
        </w:rPr>
        <w:t xml:space="preserve"> a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quemar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la tortilla!</w:t>
      </w:r>
      <w:r>
        <w:rPr>
          <w:rFonts w:ascii="HelveticaNeueLTStd-Roman" w:hAnsi="HelveticaNeueLTStd-Roman" w:cs="HelveticaNeueLTStd-Roman"/>
          <w:color w:val="000000"/>
        </w:rPr>
        <w:t>)</w:t>
      </w:r>
    </w:p>
    <w:p w:rsidR="005E707E" w:rsidRDefault="005E707E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3.3.2.4 Other constructions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Comparative constructions</w:t>
      </w:r>
    </w:p>
    <w:p w:rsidR="00F35372" w:rsidRDefault="00F35372" w:rsidP="00F35372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color w:val="000000"/>
        </w:rPr>
      </w:pP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Tiene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más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dinero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de lo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creía</w:t>
      </w:r>
      <w:proofErr w:type="spellEnd"/>
    </w:p>
    <w:p w:rsidR="00F35372" w:rsidRDefault="00F35372">
      <w:pPr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Expression of concession other than by </w:t>
      </w:r>
      <w:proofErr w:type="spellStart"/>
      <w:r>
        <w:rPr>
          <w:rFonts w:ascii="HelveticaNeueLTStd-Roman" w:hAnsi="HelveticaNeueLTStd-Roman" w:cs="HelveticaNeueLTStd-Roman"/>
          <w:color w:val="000000"/>
        </w:rPr>
        <w:t>aunque</w:t>
      </w:r>
      <w:proofErr w:type="spellEnd"/>
      <w:r>
        <w:rPr>
          <w:rFonts w:ascii="HelveticaNeueLTStd-Roman" w:hAnsi="HelveticaNeueLTStd-Roman" w:cs="HelveticaNeueLTStd-Roman"/>
          <w:color w:val="000000"/>
        </w:rPr>
        <w:t xml:space="preserve"> (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por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muy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 xml:space="preserve">adjective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,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por</w:t>
      </w:r>
      <w:proofErr w:type="spellEnd"/>
      <w:r>
        <w:rPr>
          <w:rFonts w:ascii="HelveticaNeueLTStd-It" w:hAnsi="HelveticaNeueLTStd-It" w:cs="HelveticaNeueLTStd-It"/>
          <w:i/>
          <w:iCs/>
          <w:color w:val="000000"/>
        </w:rPr>
        <w:t xml:space="preserve"> mucho </w:t>
      </w:r>
      <w:proofErr w:type="spellStart"/>
      <w:r>
        <w:rPr>
          <w:rFonts w:ascii="HelveticaNeueLTStd-It" w:hAnsi="HelveticaNeueLTStd-It" w:cs="HelveticaNeueLTStd-It"/>
          <w:i/>
          <w:iCs/>
          <w:color w:val="000000"/>
        </w:rPr>
        <w:t>que</w:t>
      </w:r>
      <w:proofErr w:type="spellEnd"/>
      <w:r>
        <w:rPr>
          <w:rFonts w:ascii="HelveticaNeueLTStd-Roman" w:hAnsi="HelveticaNeueLTStd-Roman" w:cs="HelveticaNeueLTStd-Roman"/>
          <w:color w:val="000000"/>
        </w:rPr>
        <w:t>) (R)</w:t>
      </w:r>
    </w:p>
    <w:p w:rsidR="00F35372" w:rsidRDefault="00F35372" w:rsidP="00F35372"/>
    <w:sectPr w:rsidR="00F35372" w:rsidSect="00F35372">
      <w:pgSz w:w="11906" w:h="16838"/>
      <w:pgMar w:top="709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35372"/>
    <w:rsid w:val="005E707E"/>
    <w:rsid w:val="00830FFA"/>
    <w:rsid w:val="00F3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F134825D4A54693DB3AA8C4E41EBC" ma:contentTypeVersion="25" ma:contentTypeDescription="Create a new document." ma:contentTypeScope="" ma:versionID="60382d54b5bc3df291fb03490d5df2c1">
  <xsd:schema xmlns:xsd="http://www.w3.org/2001/XMLSchema" xmlns:xs="http://www.w3.org/2001/XMLSchema" xmlns:p="http://schemas.microsoft.com/office/2006/metadata/properties" xmlns:ns2="3a2ad050-3c60-42b7-a2ae-5288fc534a37" xmlns:ns3="b26a1134-8e7b-43e4-abc0-9133c44f8f68" targetNamespace="http://schemas.microsoft.com/office/2006/metadata/properties" ma:root="true" ma:fieldsID="a02746516604c7f0fed23b396aa3ab3a" ns2:_="" ns3:_="">
    <xsd:import namespace="3a2ad050-3c60-42b7-a2ae-5288fc534a37"/>
    <xsd:import namespace="b26a1134-8e7b-43e4-abc0-9133c44f8f68"/>
    <xsd:element name="properties">
      <xsd:complexType>
        <xsd:sequence>
          <xsd:element name="documentManagement">
            <xsd:complexType>
              <xsd:all>
                <xsd:element ref="ns2:eaee99a3b65741ec86433ec881e2607b" minOccurs="0"/>
                <xsd:element ref="ns2:TaxCatchAll" minOccurs="0"/>
                <xsd:element ref="ns2:l5bca6976c3f46b4b72ac5f892968213" minOccurs="0"/>
                <xsd:element ref="ns2:f5c6631f7d284bf8a1eb86232792c18a" minOccurs="0"/>
                <xsd:element ref="ns2:i81f589b0b304aa59ac6ce540d9ea722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ad050-3c60-42b7-a2ae-5288fc534a37" elementFormDefault="qualified">
    <xsd:import namespace="http://schemas.microsoft.com/office/2006/documentManagement/types"/>
    <xsd:import namespace="http://schemas.microsoft.com/office/infopath/2007/PartnerControls"/>
    <xsd:element name="eaee99a3b65741ec86433ec881e2607b" ma:index="9" nillable="true" ma:taxonomy="true" ma:internalName="eaee99a3b65741ec86433ec881e2607b" ma:taxonomyFieldName="Topic" ma:displayName="Topic" ma:fieldId="{eaee99a3-b657-41ec-8643-3ec881e2607b}" ma:sspId="59225b58-e3d2-4ce2-b8c8-b95fb5472c4f" ma:termSetId="a8c5a09f-93dc-43eb-a947-5f7308f012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da183c-2164-4b47-a29e-14a7c14f4a33}" ma:internalName="TaxCatchAll" ma:showField="CatchAllData" ma:web="3a2ad050-3c60-42b7-a2ae-5288fc534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bca6976c3f46b4b72ac5f892968213" ma:index="12" nillable="true" ma:taxonomy="true" ma:internalName="l5bca6976c3f46b4b72ac5f892968213" ma:taxonomyFieldName="Exam_x0020_Board" ma:displayName="Exam Board" ma:fieldId="{55bca697-6c3f-46b4-b72a-c5f892968213}" ma:sspId="59225b58-e3d2-4ce2-b8c8-b95fb5472c4f" ma:termSetId="7ff01458-f10a-4d8b-8ea8-0251811fd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c6631f7d284bf8a1eb86232792c18a" ma:index="14" nillable="true" ma:taxonomy="true" ma:internalName="f5c6631f7d284bf8a1eb86232792c18a" ma:taxonomyFieldName="Week" ma:displayName="Week" ma:fieldId="{f5c6631f-7d28-4bf8-a1eb-86232792c18a}" ma:sspId="59225b58-e3d2-4ce2-b8c8-b95fb5472c4f" ma:termSetId="e6742770-d5b4-4644-98a0-94f43a02e9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1f589b0b304aa59ac6ce540d9ea722" ma:index="16" nillable="true" ma:taxonomy="true" ma:internalName="i81f589b0b304aa59ac6ce540d9ea722" ma:taxonomyFieldName="Term" ma:displayName="Term" ma:fieldId="{281f589b-0b30-4aa5-9ac6-ce540d9ea722}" ma:sspId="59225b58-e3d2-4ce2-b8c8-b95fb5472c4f" ma:termSetId="7bb8ffaa-c7a0-4459-9259-f630ab84ca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7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18" nillable="true" ma:displayName="Key Stage" ma:default="KS4" ma:internalName="Key_x0020_Stage">
      <xsd:simpleType>
        <xsd:restriction base="dms:Text"/>
      </xsd:simpleType>
    </xsd:element>
    <xsd:element name="Year" ma:index="19" nillable="true" ma:displayName="Year" ma:default="Year 11" ma:internalName="Year">
      <xsd:simpleType>
        <xsd:restriction base="dms:Text"/>
      </xsd:simpleType>
    </xsd:element>
    <xsd:element name="Lesson" ma:index="20" nillable="true" ma:displayName="Lesson" ma:internalName="Lesson">
      <xsd:simpleType>
        <xsd:restriction base="dms:Text"/>
      </xsd:simpleType>
    </xsd:element>
    <xsd:element name="CustomTags" ma:index="21" nillable="true" ma:displayName="Custom Tags" ma:internalName="Custom_x0020_Tags">
      <xsd:simpleType>
        <xsd:restriction base="dms:Text"/>
      </xsd:simpleType>
    </xsd:element>
    <xsd:element name="CurriculumSubject" ma:index="22" nillable="true" ma:displayName="Curriculum Subject" ma:default="Registration Year 11" ma:internalName="Curriculum_x0020_Subject">
      <xsd:simpleType>
        <xsd:restriction base="dms:Text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a1134-8e7b-43e4-abc0-9133c44f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f589b0b304aa59ac6ce540d9ea722 xmlns="3a2ad050-3c60-42b7-a2ae-5288fc534a37">
      <Terms xmlns="http://schemas.microsoft.com/office/infopath/2007/PartnerControls"/>
    </i81f589b0b304aa59ac6ce540d9ea722>
    <Year xmlns="3a2ad050-3c60-42b7-a2ae-5288fc534a37">Year 11</Year>
    <l5bca6976c3f46b4b72ac5f892968213 xmlns="3a2ad050-3c60-42b7-a2ae-5288fc534a37">
      <Terms xmlns="http://schemas.microsoft.com/office/infopath/2007/PartnerControls"/>
    </l5bca6976c3f46b4b72ac5f892968213>
    <PersonalIdentificationData xmlns="3a2ad050-3c60-42b7-a2ae-5288fc534a37" xsi:nil="true"/>
    <f5c6631f7d284bf8a1eb86232792c18a xmlns="3a2ad050-3c60-42b7-a2ae-5288fc534a37">
      <Terms xmlns="http://schemas.microsoft.com/office/infopath/2007/PartnerControls"/>
    </f5c6631f7d284bf8a1eb86232792c18a>
    <eaee99a3b65741ec86433ec881e2607b xmlns="3a2ad050-3c60-42b7-a2ae-5288fc534a37">
      <Terms xmlns="http://schemas.microsoft.com/office/infopath/2007/PartnerControls"/>
    </eaee99a3b65741ec86433ec881e2607b>
    <TaxCatchAll xmlns="3a2ad050-3c60-42b7-a2ae-5288fc534a37" xsi:nil="true"/>
    <Lesson xmlns="3a2ad050-3c60-42b7-a2ae-5288fc534a37" xsi:nil="true"/>
    <CustomTags xmlns="3a2ad050-3c60-42b7-a2ae-5288fc534a37" xsi:nil="true"/>
    <KeyStage xmlns="3a2ad050-3c60-42b7-a2ae-5288fc534a37">KS4</KeyStage>
    <CurriculumSubject xmlns="3a2ad050-3c60-42b7-a2ae-5288fc534a37">Registration Year 11</CurriculumSubject>
  </documentManagement>
</p:properties>
</file>

<file path=customXml/itemProps1.xml><?xml version="1.0" encoding="utf-8"?>
<ds:datastoreItem xmlns:ds="http://schemas.openxmlformats.org/officeDocument/2006/customXml" ds:itemID="{50F7D4D9-3F6C-45DF-8A6B-78A4136B3DD4}"/>
</file>

<file path=customXml/itemProps2.xml><?xml version="1.0" encoding="utf-8"?>
<ds:datastoreItem xmlns:ds="http://schemas.openxmlformats.org/officeDocument/2006/customXml" ds:itemID="{6006C7FA-1B6B-4B2D-B882-87CE2386C1FD}"/>
</file>

<file path=customXml/itemProps3.xml><?xml version="1.0" encoding="utf-8"?>
<ds:datastoreItem xmlns:ds="http://schemas.openxmlformats.org/officeDocument/2006/customXml" ds:itemID="{5DCB0698-1426-4E39-B203-93C2376B7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jose.castro</dc:creator>
  <cp:lastModifiedBy>jose.castro</cp:lastModifiedBy>
  <cp:revision>1</cp:revision>
  <cp:lastPrinted>2018-01-25T15:52:00Z</cp:lastPrinted>
  <dcterms:created xsi:type="dcterms:W3CDTF">2018-01-25T15:30:00Z</dcterms:created>
  <dcterms:modified xsi:type="dcterms:W3CDTF">2018-01-25T15:52:00Z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0x010100638F134825D4A54693DB3AA8C4E41EBC</vt:lpwstr>
  </property>
  <property fmtid="{D5CDD505-2E9C-101B-9397-08002B2CF9AE}" pid="3" name="Order">
    <vt:r8>12200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Week">
    <vt:lpwstr/>
  </property>
  <property fmtid="{D5CDD505-2E9C-101B-9397-08002B2CF9AE}" pid="15" name="Exam Board">
    <vt:lpwstr/>
  </property>
</Properties>
</file>